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27A17D22" w14:textId="3BE50D5B" w:rsidR="00104AAB" w:rsidRPr="00FA6085" w:rsidRDefault="00104AAB" w:rsidP="00104AAB">
      <w:pPr>
        <w:pStyle w:val="Default"/>
        <w:rPr>
          <w:rFonts w:ascii="Montserrat" w:hAnsi="Montserrat" w:cs="Montserrat"/>
        </w:rPr>
      </w:pPr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Jesteśmy dumni z osiągnięcia statusu </w:t>
      </w:r>
      <w:r w:rsidRPr="00104AAB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złotego</w:t>
      </w:r>
      <w:r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w programie EMS Angels Awards.</w:t>
      </w:r>
    </w:p>
    <w:p w14:paraId="427057BA" w14:textId="6D12D0AF" w:rsidR="002B5327" w:rsidRPr="00E72C1C" w:rsidRDefault="00104AAB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Nagrody stanowią wyraz uznania i wyróżnienie dla osób świadczących opiekę przedszpitalną nad pacjentami z udarem mózgu na całym świecie, które osiągają najlepsze wyniki.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04AAB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2025-09-09T02:37:00Z</dcterms:modified>
</cp:coreProperties>
</file>